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2014 279 vom 27. Mai 2015</w:t>
      </w:r>
    </w:p>
    <w:p>
      <w:r>
        <w:t>BL Gerichte, 2015-05-27, DE</w:t>
      </w:r>
    </w:p>
    <w:p>
      <w:r>
        <w:rPr>
          <w:b/>
        </w:rPr>
        <w:t xml:space="preserve">Quelle: </w:t>
      </w:r>
      <w:r>
        <w:t>https://mcp.opencaselaw.ch/entscheid/bl_gerichte_810 2014 279</w:t>
      </w:r>
    </w:p>
    <w:p>
      <w:r>
        <w:t>FR: BL_GERICHTE 810 2014 279 du 27 mai 2015</w:t>
      </w:r>
    </w:p>
    <w:p>
      <w:r>
        <w:t>IT: BL_GERICHTE 810 2014 279 del 27 maggio 2015</w:t>
      </w:r>
    </w:p>
    <w:p>
      <w:pPr>
        <w:pStyle w:val="Heading2"/>
      </w:pPr>
      <w:r>
        <w:t>Regeste</w:t>
      </w:r>
    </w:p>
    <w:p>
      <w:r>
        <w:t>Erteilung der Aufenthaltsbewilligung; Kantonswechsel (RRB Nr. 1323 vom 9. September 2014)</w:t>
      </w:r>
    </w:p>
    <w:p>
      <w:pPr>
        <w:pStyle w:val="Heading2"/>
      </w:pPr>
      <w:r>
        <w:t>Erwägungen</w:t>
      </w:r>
    </w:p>
    <w:p>
      <w:r>
        <w:rPr>
          <w:b/>
        </w:rPr>
        <w:t>E. 1</w:t>
      </w:r>
    </w:p>
    <w:p>
      <w:r>
        <w:t>Gemäss § 43 Abs. 1 des Gesetzes über die Verfassungs- und Verwaltungsprozessordnung (VPO) vom 16. Dezember 1993 ist gegen Verfügungen und Entscheide des Regierungsrats die verwaltungsgerichtliche Beschwerde beim Kantonsgericht zulässig. Da weder ein Ausschlusstatbestand nach § 44 VPO noch ein spezialgesetzlicher Ausschlusstatbestand vorliegen, ist die Zuständigkeit des Kantonsgerichts zur Beurteilung der vorliegenden Angelegenheit gegeben.</w:t>
      </w:r>
    </w:p>
    <w:p>
      <w:r>
        <w:rPr>
          <w:b/>
        </w:rPr>
        <w:t>E. 2</w:t>
      </w:r>
    </w:p>
    <w:p>
      <w:r>
        <w:t>Nach § 47 Abs. 1 lit. a VPO ist zur Beschwerde befugt, wer durch die angefochtene Verfügung oder den angefochtenen Entscheid berührt ist und ein schutzwürdiges Interesse an dessen Änderung oder Aufhebung hat. Da der Beschwerdeführer Adressat des angefochtenen Entscheids ist und ein schutzwürdiges Interesse an dessen Aufhebung hat und die übrigen formellen Voraussetzungen erfüllt sind, kann auf die Beschwerde eingetreten werden.</w:t>
      </w:r>
    </w:p>
    <w:p>
      <w:r>
        <w:rPr>
          <w:b/>
        </w:rPr>
        <w:t>E. 3</w:t>
      </w:r>
    </w:p>
    <w:p>
      <w:r>
        <w:t>Die Parteikosten werden wettgeschlagen. Zufolge Bewilligung der unentgeltlichen Verbeiständung wird der Rechtsvertreterin des Beschwerdeführers ein Honorar in der Höhe von Fr. 3‘062.15 (inkl. Auslagen und 8 % MWSt) aus der Gerichtskasse ausgerichtet. Präsidentin Gerichtsschreiber i.V. Gegen diesen Entscheid wurde am 14. September 2015 Beschwerde beim Bundesgericht (Verfahrensnummer 2C_785/2015)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